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B5BDB" w14:textId="14473A6C" w:rsidR="00304170" w:rsidRPr="00A7651B" w:rsidRDefault="009B4251" w:rsidP="004F210E">
      <w:pPr>
        <w:rPr>
          <w:rFonts w:cstheme="minorHAnsi"/>
          <w:b/>
          <w:sz w:val="28"/>
        </w:rPr>
      </w:pPr>
      <w:r w:rsidRPr="009B4251">
        <w:rPr>
          <w:rFonts w:cstheme="minorHAnsi"/>
          <w:b/>
          <w:sz w:val="28"/>
        </w:rPr>
        <w:t>1D/2D NMR analysis of Al2O3-NaPO3 glasses</w:t>
      </w:r>
    </w:p>
    <w:p w14:paraId="623C65D5" w14:textId="0F4E445A" w:rsidR="00A7651B" w:rsidRPr="009B4251" w:rsidRDefault="00016166" w:rsidP="00A7651B">
      <w:pPr>
        <w:rPr>
          <w:rFonts w:cstheme="minorHAnsi"/>
        </w:rPr>
      </w:pPr>
      <w:r>
        <w:rPr>
          <w:rFonts w:cstheme="minorHAnsi"/>
          <w:vertAlign w:val="superscript"/>
        </w:rPr>
        <w:t>1,*</w:t>
      </w:r>
      <w:r w:rsidR="006718E9">
        <w:rPr>
          <w:rFonts w:cstheme="minorHAnsi"/>
        </w:rPr>
        <w:t xml:space="preserve"> </w:t>
      </w:r>
      <w:r w:rsidR="009B4251">
        <w:rPr>
          <w:rFonts w:cstheme="minorHAnsi"/>
        </w:rPr>
        <w:t xml:space="preserve">G. </w:t>
      </w:r>
      <w:r w:rsidR="006718E9">
        <w:rPr>
          <w:rFonts w:cstheme="minorHAnsi"/>
        </w:rPr>
        <w:t xml:space="preserve">Tricot, </w:t>
      </w:r>
      <w:r w:rsidR="009B4251">
        <w:rPr>
          <w:rFonts w:cstheme="minorHAnsi"/>
          <w:vertAlign w:val="superscript"/>
        </w:rPr>
        <w:t>1</w:t>
      </w:r>
      <w:r w:rsidR="009B4251">
        <w:rPr>
          <w:rFonts w:cstheme="minorHAnsi"/>
        </w:rPr>
        <w:t xml:space="preserve"> H. Hu</w:t>
      </w:r>
    </w:p>
    <w:p w14:paraId="1A3C73A0" w14:textId="77777777" w:rsidR="00016166" w:rsidRPr="00FE197B" w:rsidRDefault="00016166" w:rsidP="00A7651B">
      <w:pPr>
        <w:rPr>
          <w:rFonts w:cstheme="minorHAnsi"/>
        </w:rPr>
      </w:pPr>
    </w:p>
    <w:p w14:paraId="2162C1F6" w14:textId="22CA18B3" w:rsidR="00016166" w:rsidRPr="00DD26D3" w:rsidRDefault="00016166" w:rsidP="009B4251">
      <w:pPr>
        <w:rPr>
          <w:rFonts w:cstheme="minorHAnsi"/>
          <w:sz w:val="20"/>
          <w:lang w:val="fr-FR"/>
        </w:rPr>
      </w:pPr>
      <w:r w:rsidRPr="00FE197B">
        <w:rPr>
          <w:rFonts w:cstheme="minorHAnsi"/>
          <w:sz w:val="20"/>
          <w:vertAlign w:val="superscript"/>
        </w:rPr>
        <w:t>1</w:t>
      </w:r>
      <w:r w:rsidR="006718E9" w:rsidRPr="00FE197B">
        <w:rPr>
          <w:rFonts w:cstheme="minorHAnsi"/>
          <w:sz w:val="20"/>
        </w:rPr>
        <w:t xml:space="preserve"> </w:t>
      </w:r>
      <w:proofErr w:type="spellStart"/>
      <w:r w:rsidR="004F210E" w:rsidRPr="00DD26D3">
        <w:rPr>
          <w:rFonts w:cstheme="minorHAnsi"/>
          <w:sz w:val="20"/>
          <w:lang w:val="fr-FR"/>
        </w:rPr>
        <w:t>Univ</w:t>
      </w:r>
      <w:proofErr w:type="spellEnd"/>
      <w:r w:rsidR="004F210E" w:rsidRPr="00DD26D3">
        <w:rPr>
          <w:rFonts w:cstheme="minorHAnsi"/>
          <w:sz w:val="20"/>
          <w:lang w:val="fr-FR"/>
        </w:rPr>
        <w:t xml:space="preserve">. Lille, CNRS, UMR 8516- LASIR-Laboratoire de </w:t>
      </w:r>
      <w:proofErr w:type="spellStart"/>
      <w:r w:rsidR="004F210E" w:rsidRPr="00DD26D3">
        <w:rPr>
          <w:rFonts w:cstheme="minorHAnsi"/>
          <w:sz w:val="20"/>
          <w:lang w:val="fr-FR"/>
        </w:rPr>
        <w:t>Spectrochimie</w:t>
      </w:r>
      <w:proofErr w:type="spellEnd"/>
      <w:r w:rsidR="004F210E" w:rsidRPr="00DD26D3">
        <w:rPr>
          <w:rFonts w:cstheme="minorHAnsi"/>
          <w:sz w:val="20"/>
          <w:lang w:val="fr-FR"/>
        </w:rPr>
        <w:t xml:space="preserve"> Infrarouge </w:t>
      </w:r>
      <w:proofErr w:type="gramStart"/>
      <w:r w:rsidR="004F210E" w:rsidRPr="00DD26D3">
        <w:rPr>
          <w:rFonts w:cstheme="minorHAnsi"/>
          <w:sz w:val="20"/>
          <w:lang w:val="fr-FR"/>
        </w:rPr>
        <w:t>et</w:t>
      </w:r>
      <w:proofErr w:type="gramEnd"/>
      <w:r w:rsidR="004F210E" w:rsidRPr="00DD26D3">
        <w:rPr>
          <w:rFonts w:cstheme="minorHAnsi"/>
          <w:sz w:val="20"/>
          <w:lang w:val="fr-FR"/>
        </w:rPr>
        <w:t xml:space="preserve"> Raman, F-59000 Lille, France</w:t>
      </w:r>
    </w:p>
    <w:p w14:paraId="5637738A" w14:textId="273E4C09" w:rsidR="006718E9" w:rsidRDefault="006718E9" w:rsidP="006718E9">
      <w:pPr>
        <w:rPr>
          <w:rFonts w:asciiTheme="majorHAnsi" w:hAnsiTheme="majorHAnsi" w:cstheme="majorHAnsi"/>
          <w:iCs/>
          <w:sz w:val="20"/>
        </w:rPr>
      </w:pPr>
    </w:p>
    <w:p w14:paraId="4EEA8591" w14:textId="77777777" w:rsidR="00E65395" w:rsidRDefault="00E65395" w:rsidP="00A7651B">
      <w:pPr>
        <w:rPr>
          <w:rFonts w:cstheme="minorHAnsi"/>
        </w:rPr>
      </w:pPr>
    </w:p>
    <w:p w14:paraId="64593DCA" w14:textId="3F3ADBDD" w:rsidR="008F6E27" w:rsidRPr="00950FD0" w:rsidRDefault="00950FD0" w:rsidP="00A7651B">
      <w:pPr>
        <w:rPr>
          <w:rFonts w:cstheme="minorHAnsi"/>
          <w:b/>
        </w:rPr>
      </w:pPr>
      <w:r w:rsidRPr="00950FD0">
        <w:rPr>
          <w:rFonts w:cstheme="minorHAnsi"/>
          <w:b/>
        </w:rPr>
        <w:t>I prefer an oral presentation.</w:t>
      </w:r>
    </w:p>
    <w:p w14:paraId="50118C98" w14:textId="4C4B7EDB" w:rsidR="00950FD0" w:rsidRDefault="00950FD0" w:rsidP="00A7651B">
      <w:pPr>
        <w:rPr>
          <w:rFonts w:cstheme="minorHAnsi"/>
        </w:rPr>
      </w:pPr>
    </w:p>
    <w:p w14:paraId="7487BF3C" w14:textId="77777777" w:rsidR="0080378B" w:rsidRDefault="0080378B" w:rsidP="0080378B">
      <w:pPr>
        <w:jc w:val="both"/>
        <w:rPr>
          <w:rFonts w:cstheme="minorHAnsi"/>
        </w:rPr>
      </w:pPr>
    </w:p>
    <w:p w14:paraId="6EA538A0" w14:textId="5F0E0617" w:rsidR="009B4251" w:rsidRPr="009B4251" w:rsidRDefault="009B4251" w:rsidP="009B4251">
      <w:pPr>
        <w:jc w:val="both"/>
        <w:rPr>
          <w:rFonts w:cstheme="minorHAnsi"/>
        </w:rPr>
      </w:pPr>
      <w:r w:rsidRPr="009B4251">
        <w:rPr>
          <w:rFonts w:cstheme="minorHAnsi"/>
        </w:rPr>
        <w:t xml:space="preserve">Phosphate based glasses have attracted much attention during the last decades. Thanks to their good properties (low </w:t>
      </w:r>
      <w:proofErr w:type="spellStart"/>
      <w:proofErr w:type="gramStart"/>
      <w:r w:rsidRPr="009B4251">
        <w:rPr>
          <w:rFonts w:cstheme="minorHAnsi"/>
        </w:rPr>
        <w:t>Tg</w:t>
      </w:r>
      <w:proofErr w:type="spellEnd"/>
      <w:proofErr w:type="gramEnd"/>
      <w:r w:rsidRPr="009B4251">
        <w:rPr>
          <w:rFonts w:cstheme="minorHAnsi"/>
        </w:rPr>
        <w:t xml:space="preserve">, high TEC...), this type of glass has been used in many applications (laser glasses, low temperature sealing glasses, host matrix...). All these applications require glasses with acceptable stability and this parameter can be significantly improved by </w:t>
      </w:r>
      <w:r w:rsidR="009C2274">
        <w:rPr>
          <w:rFonts w:cstheme="minorHAnsi"/>
        </w:rPr>
        <w:t xml:space="preserve">the </w:t>
      </w:r>
      <w:r w:rsidRPr="009B4251">
        <w:rPr>
          <w:rFonts w:cstheme="minorHAnsi"/>
        </w:rPr>
        <w:t>addition of trivalent oxides (Al</w:t>
      </w:r>
      <w:r w:rsidRPr="009B4251">
        <w:rPr>
          <w:rFonts w:cstheme="minorHAnsi"/>
          <w:vertAlign w:val="subscript"/>
        </w:rPr>
        <w:t>2</w:t>
      </w:r>
      <w:r w:rsidRPr="009B4251">
        <w:rPr>
          <w:rFonts w:cstheme="minorHAnsi"/>
        </w:rPr>
        <w:t>O</w:t>
      </w:r>
      <w:r w:rsidRPr="009B4251">
        <w:rPr>
          <w:rFonts w:cstheme="minorHAnsi"/>
          <w:vertAlign w:val="subscript"/>
        </w:rPr>
        <w:t>3</w:t>
      </w:r>
      <w:r w:rsidRPr="009B4251">
        <w:rPr>
          <w:rFonts w:cstheme="minorHAnsi"/>
        </w:rPr>
        <w:t>, Fe</w:t>
      </w:r>
      <w:r w:rsidRPr="009B4251">
        <w:rPr>
          <w:rFonts w:cstheme="minorHAnsi"/>
          <w:vertAlign w:val="subscript"/>
        </w:rPr>
        <w:t>2</w:t>
      </w:r>
      <w:r w:rsidRPr="009B4251">
        <w:rPr>
          <w:rFonts w:cstheme="minorHAnsi"/>
        </w:rPr>
        <w:t>O</w:t>
      </w:r>
      <w:r w:rsidRPr="009B4251">
        <w:rPr>
          <w:rFonts w:cstheme="minorHAnsi"/>
          <w:vertAlign w:val="subscript"/>
        </w:rPr>
        <w:t>3</w:t>
      </w:r>
      <w:r w:rsidRPr="009B4251">
        <w:rPr>
          <w:rFonts w:cstheme="minorHAnsi"/>
        </w:rPr>
        <w:t xml:space="preserve">, </w:t>
      </w:r>
      <w:proofErr w:type="gramStart"/>
      <w:r w:rsidRPr="009B4251">
        <w:rPr>
          <w:rFonts w:cstheme="minorHAnsi"/>
        </w:rPr>
        <w:t>B</w:t>
      </w:r>
      <w:r w:rsidRPr="009B4251">
        <w:rPr>
          <w:rFonts w:cstheme="minorHAnsi"/>
          <w:vertAlign w:val="subscript"/>
        </w:rPr>
        <w:t>2</w:t>
      </w:r>
      <w:r w:rsidRPr="009B4251">
        <w:rPr>
          <w:rFonts w:cstheme="minorHAnsi"/>
        </w:rPr>
        <w:t>O</w:t>
      </w:r>
      <w:r w:rsidRPr="009B4251">
        <w:rPr>
          <w:rFonts w:cstheme="minorHAnsi"/>
          <w:vertAlign w:val="subscript"/>
        </w:rPr>
        <w:t>3</w:t>
      </w:r>
      <w:proofErr w:type="gramEnd"/>
      <w:r w:rsidRPr="009B4251">
        <w:rPr>
          <w:rFonts w:cstheme="minorHAnsi"/>
        </w:rPr>
        <w:t xml:space="preserve">). The impacts of these additions on the materials structure and </w:t>
      </w:r>
      <w:r>
        <w:rPr>
          <w:rFonts w:cstheme="minorHAnsi"/>
        </w:rPr>
        <w:t xml:space="preserve">properties need to </w:t>
      </w:r>
      <w:proofErr w:type="gramStart"/>
      <w:r>
        <w:rPr>
          <w:rFonts w:cstheme="minorHAnsi"/>
        </w:rPr>
        <w:t xml:space="preserve">be perfectly </w:t>
      </w:r>
      <w:r w:rsidRPr="009B4251">
        <w:rPr>
          <w:rFonts w:cstheme="minorHAnsi"/>
        </w:rPr>
        <w:t>understood</w:t>
      </w:r>
      <w:proofErr w:type="gramEnd"/>
      <w:r w:rsidRPr="009B4251">
        <w:rPr>
          <w:rFonts w:cstheme="minorHAnsi"/>
        </w:rPr>
        <w:t xml:space="preserve"> and many papers were devoted to this topic.</w:t>
      </w:r>
    </w:p>
    <w:p w14:paraId="537A454A" w14:textId="77777777" w:rsidR="009B4251" w:rsidRPr="009B4251" w:rsidRDefault="009B4251" w:rsidP="009B4251">
      <w:pPr>
        <w:jc w:val="both"/>
        <w:rPr>
          <w:rFonts w:cstheme="minorHAnsi"/>
        </w:rPr>
      </w:pPr>
    </w:p>
    <w:p w14:paraId="271A9E69" w14:textId="2EFE7393" w:rsidR="00C92964" w:rsidRDefault="009B4251" w:rsidP="009B4251">
      <w:pPr>
        <w:jc w:val="both"/>
        <w:rPr>
          <w:rFonts w:cstheme="minorHAnsi"/>
        </w:rPr>
      </w:pPr>
      <w:r w:rsidRPr="009B4251">
        <w:rPr>
          <w:rFonts w:cstheme="minorHAnsi"/>
        </w:rPr>
        <w:t xml:space="preserve">In this presentation, </w:t>
      </w:r>
      <w:r w:rsidR="009C2274">
        <w:rPr>
          <w:rFonts w:cstheme="minorHAnsi"/>
        </w:rPr>
        <w:t xml:space="preserve">we will show how </w:t>
      </w:r>
      <w:r w:rsidRPr="009B4251">
        <w:rPr>
          <w:rFonts w:cstheme="minorHAnsi"/>
        </w:rPr>
        <w:t>the insertion of Al atoms in the sodium metaphosphate (NaPO</w:t>
      </w:r>
      <w:r w:rsidRPr="009B4251">
        <w:rPr>
          <w:rFonts w:cstheme="minorHAnsi"/>
          <w:vertAlign w:val="subscript"/>
        </w:rPr>
        <w:t>3</w:t>
      </w:r>
      <w:r w:rsidRPr="009B4251">
        <w:rPr>
          <w:rFonts w:cstheme="minorHAnsi"/>
        </w:rPr>
        <w:t xml:space="preserve">) glass </w:t>
      </w:r>
      <w:proofErr w:type="gramStart"/>
      <w:r w:rsidRPr="009B4251">
        <w:rPr>
          <w:rFonts w:cstheme="minorHAnsi"/>
        </w:rPr>
        <w:t xml:space="preserve">was </w:t>
      </w:r>
      <w:r w:rsidR="009C2274">
        <w:rPr>
          <w:rFonts w:cstheme="minorHAnsi"/>
        </w:rPr>
        <w:t>studied</w:t>
      </w:r>
      <w:proofErr w:type="gramEnd"/>
      <w:r>
        <w:rPr>
          <w:rFonts w:cstheme="minorHAnsi"/>
        </w:rPr>
        <w:t xml:space="preserve"> by 1D/2D solid state NMR</w:t>
      </w:r>
      <w:r w:rsidRPr="009B4251">
        <w:rPr>
          <w:rFonts w:cstheme="minorHAnsi"/>
        </w:rPr>
        <w:t xml:space="preserve">. </w:t>
      </w:r>
      <w:r w:rsidR="009C2274">
        <w:rPr>
          <w:rFonts w:cstheme="minorHAnsi"/>
        </w:rPr>
        <w:t>The local order</w:t>
      </w:r>
      <w:r w:rsidR="00C92964">
        <w:rPr>
          <w:rFonts w:cstheme="minorHAnsi"/>
        </w:rPr>
        <w:t xml:space="preserve"> and its evolution</w:t>
      </w:r>
      <w:r w:rsidR="009C2274">
        <w:rPr>
          <w:rFonts w:cstheme="minorHAnsi"/>
        </w:rPr>
        <w:t xml:space="preserve"> w</w:t>
      </w:r>
      <w:r w:rsidR="00C92964">
        <w:rPr>
          <w:rFonts w:cstheme="minorHAnsi"/>
        </w:rPr>
        <w:t xml:space="preserve">ere </w:t>
      </w:r>
      <w:r w:rsidR="009C2274">
        <w:rPr>
          <w:rFonts w:cstheme="minorHAnsi"/>
        </w:rPr>
        <w:t xml:space="preserve">first analysed by 1D </w:t>
      </w:r>
      <w:r w:rsidR="009C2274" w:rsidRPr="009C2274">
        <w:rPr>
          <w:rFonts w:cstheme="minorHAnsi"/>
          <w:vertAlign w:val="superscript"/>
        </w:rPr>
        <w:t>23</w:t>
      </w:r>
      <w:r w:rsidR="009C2274">
        <w:rPr>
          <w:rFonts w:cstheme="minorHAnsi"/>
        </w:rPr>
        <w:t xml:space="preserve">Na, </w:t>
      </w:r>
      <w:r w:rsidR="009C2274" w:rsidRPr="009C2274">
        <w:rPr>
          <w:rFonts w:cstheme="minorHAnsi"/>
          <w:vertAlign w:val="superscript"/>
        </w:rPr>
        <w:t>27</w:t>
      </w:r>
      <w:r w:rsidR="009C2274">
        <w:rPr>
          <w:rFonts w:cstheme="minorHAnsi"/>
        </w:rPr>
        <w:t xml:space="preserve">Al and </w:t>
      </w:r>
      <w:r w:rsidR="009C2274" w:rsidRPr="009C2274">
        <w:rPr>
          <w:rFonts w:cstheme="minorHAnsi"/>
          <w:vertAlign w:val="superscript"/>
        </w:rPr>
        <w:t>31</w:t>
      </w:r>
      <w:r w:rsidR="009C2274">
        <w:rPr>
          <w:rFonts w:cstheme="minorHAnsi"/>
        </w:rPr>
        <w:t xml:space="preserve">P </w:t>
      </w:r>
      <w:r w:rsidR="00C92964">
        <w:rPr>
          <w:rFonts w:cstheme="minorHAnsi"/>
        </w:rPr>
        <w:t>MAS-</w:t>
      </w:r>
      <w:r w:rsidR="009C2274">
        <w:rPr>
          <w:rFonts w:cstheme="minorHAnsi"/>
        </w:rPr>
        <w:t xml:space="preserve">NMR experiments. Then the presence of P-O-Al bonds was investigated by the </w:t>
      </w:r>
      <w:proofErr w:type="gramStart"/>
      <w:r w:rsidR="009C2274" w:rsidRPr="009C2274">
        <w:rPr>
          <w:rFonts w:cstheme="minorHAnsi"/>
          <w:vertAlign w:val="superscript"/>
        </w:rPr>
        <w:t>27</w:t>
      </w:r>
      <w:r w:rsidR="009C2274">
        <w:rPr>
          <w:rFonts w:cstheme="minorHAnsi"/>
        </w:rPr>
        <w:t>Al(</w:t>
      </w:r>
      <w:proofErr w:type="gramEnd"/>
      <w:r w:rsidR="009C2274" w:rsidRPr="009C2274">
        <w:rPr>
          <w:rFonts w:cstheme="minorHAnsi"/>
          <w:vertAlign w:val="superscript"/>
        </w:rPr>
        <w:t>31</w:t>
      </w:r>
      <w:r w:rsidR="009C2274">
        <w:rPr>
          <w:rFonts w:cstheme="minorHAnsi"/>
        </w:rPr>
        <w:t>P) D-HMQC NMR technique. The set of results was used to deco</w:t>
      </w:r>
      <w:r w:rsidR="00497945">
        <w:rPr>
          <w:rFonts w:cstheme="minorHAnsi"/>
        </w:rPr>
        <w:t xml:space="preserve">mpose the </w:t>
      </w:r>
      <w:proofErr w:type="gramStart"/>
      <w:r w:rsidR="009C2274">
        <w:rPr>
          <w:rFonts w:cstheme="minorHAnsi"/>
        </w:rPr>
        <w:t xml:space="preserve">1D </w:t>
      </w:r>
      <w:r w:rsidR="009C2274" w:rsidRPr="009C2274">
        <w:rPr>
          <w:rFonts w:cstheme="minorHAnsi"/>
          <w:vertAlign w:val="superscript"/>
        </w:rPr>
        <w:t>31</w:t>
      </w:r>
      <w:r w:rsidR="009C2274">
        <w:rPr>
          <w:rFonts w:cstheme="minorHAnsi"/>
        </w:rPr>
        <w:t>P</w:t>
      </w:r>
      <w:proofErr w:type="gramEnd"/>
      <w:r w:rsidR="009C2274">
        <w:rPr>
          <w:rFonts w:cstheme="minorHAnsi"/>
        </w:rPr>
        <w:t xml:space="preserve"> NMR spectra and to determine the </w:t>
      </w:r>
      <w:r w:rsidR="00B27A6E">
        <w:rPr>
          <w:rFonts w:cstheme="minorHAnsi"/>
        </w:rPr>
        <w:t xml:space="preserve">overall </w:t>
      </w:r>
      <w:proofErr w:type="spellStart"/>
      <w:r w:rsidR="009C2274">
        <w:rPr>
          <w:rFonts w:cstheme="minorHAnsi"/>
        </w:rPr>
        <w:t>Q</w:t>
      </w:r>
      <w:r w:rsidR="009C2274" w:rsidRPr="009C2274">
        <w:rPr>
          <w:rFonts w:cstheme="minorHAnsi"/>
          <w:vertAlign w:val="superscript"/>
        </w:rPr>
        <w:t>n</w:t>
      </w:r>
      <w:r w:rsidR="009C2274" w:rsidRPr="009C2274">
        <w:rPr>
          <w:rFonts w:cstheme="minorHAnsi"/>
          <w:vertAlign w:val="subscript"/>
        </w:rPr>
        <w:t>m</w:t>
      </w:r>
      <w:proofErr w:type="spellEnd"/>
      <w:r w:rsidR="009C2274">
        <w:rPr>
          <w:rFonts w:cstheme="minorHAnsi"/>
        </w:rPr>
        <w:t xml:space="preserve"> phosphate speciation</w:t>
      </w:r>
      <w:r w:rsidR="00C92964">
        <w:rPr>
          <w:rFonts w:cstheme="minorHAnsi"/>
        </w:rPr>
        <w:t xml:space="preserve"> (n and m being the number of attached P and Al)</w:t>
      </w:r>
      <w:r w:rsidR="009C2274">
        <w:rPr>
          <w:rFonts w:cstheme="minorHAnsi"/>
        </w:rPr>
        <w:t xml:space="preserve">. </w:t>
      </w:r>
      <w:r w:rsidR="00B27A6E">
        <w:rPr>
          <w:rFonts w:cstheme="minorHAnsi"/>
        </w:rPr>
        <w:t>The results show that the Q</w:t>
      </w:r>
      <w:r w:rsidR="00B27A6E" w:rsidRPr="00B27A6E">
        <w:rPr>
          <w:rFonts w:cstheme="minorHAnsi"/>
          <w:vertAlign w:val="superscript"/>
        </w:rPr>
        <w:t>2</w:t>
      </w:r>
      <w:r w:rsidR="00B27A6E">
        <w:rPr>
          <w:rFonts w:cstheme="minorHAnsi"/>
        </w:rPr>
        <w:t xml:space="preserve"> units </w:t>
      </w:r>
      <w:r w:rsidR="00497945">
        <w:rPr>
          <w:rFonts w:cstheme="minorHAnsi"/>
        </w:rPr>
        <w:t>of</w:t>
      </w:r>
      <w:r w:rsidR="00B27A6E">
        <w:rPr>
          <w:rFonts w:cstheme="minorHAnsi"/>
        </w:rPr>
        <w:t xml:space="preserve"> the NaPO</w:t>
      </w:r>
      <w:r w:rsidR="00B27A6E" w:rsidRPr="00B27A6E">
        <w:rPr>
          <w:rFonts w:cstheme="minorHAnsi"/>
          <w:vertAlign w:val="subscript"/>
        </w:rPr>
        <w:t>3</w:t>
      </w:r>
      <w:r w:rsidR="00B27A6E">
        <w:rPr>
          <w:rFonts w:cstheme="minorHAnsi"/>
        </w:rPr>
        <w:t xml:space="preserve"> structure are converted into Q</w:t>
      </w:r>
      <w:r w:rsidR="00B27A6E" w:rsidRPr="00B27A6E">
        <w:rPr>
          <w:rFonts w:cstheme="minorHAnsi"/>
          <w:vertAlign w:val="superscript"/>
        </w:rPr>
        <w:t>1</w:t>
      </w:r>
      <w:r w:rsidR="00B27A6E" w:rsidRPr="00B27A6E">
        <w:rPr>
          <w:rFonts w:cstheme="minorHAnsi"/>
          <w:vertAlign w:val="subscript"/>
        </w:rPr>
        <w:t>1Al</w:t>
      </w:r>
      <w:r w:rsidR="00B27A6E">
        <w:rPr>
          <w:rFonts w:cstheme="minorHAnsi"/>
        </w:rPr>
        <w:t xml:space="preserve"> and Q</w:t>
      </w:r>
      <w:r w:rsidR="00B27A6E" w:rsidRPr="00B27A6E">
        <w:rPr>
          <w:rFonts w:cstheme="minorHAnsi"/>
          <w:vertAlign w:val="superscript"/>
        </w:rPr>
        <w:t>1</w:t>
      </w:r>
      <w:r w:rsidR="00B27A6E" w:rsidRPr="00B27A6E">
        <w:rPr>
          <w:rFonts w:cstheme="minorHAnsi"/>
          <w:vertAlign w:val="subscript"/>
        </w:rPr>
        <w:t>2Al</w:t>
      </w:r>
      <w:r w:rsidR="009C2274">
        <w:rPr>
          <w:rFonts w:cstheme="minorHAnsi"/>
        </w:rPr>
        <w:t xml:space="preserve"> </w:t>
      </w:r>
      <w:r w:rsidR="00B27A6E">
        <w:rPr>
          <w:rFonts w:cstheme="minorHAnsi"/>
        </w:rPr>
        <w:t>species at low Al</w:t>
      </w:r>
      <w:r w:rsidR="00B27A6E" w:rsidRPr="00B27A6E">
        <w:rPr>
          <w:rFonts w:cstheme="minorHAnsi"/>
          <w:vertAlign w:val="subscript"/>
        </w:rPr>
        <w:t>2</w:t>
      </w:r>
      <w:r w:rsidR="00B27A6E">
        <w:rPr>
          <w:rFonts w:cstheme="minorHAnsi"/>
        </w:rPr>
        <w:t>O</w:t>
      </w:r>
      <w:r w:rsidR="00B27A6E" w:rsidRPr="00B27A6E">
        <w:rPr>
          <w:rFonts w:cstheme="minorHAnsi"/>
          <w:vertAlign w:val="subscript"/>
        </w:rPr>
        <w:t>3</w:t>
      </w:r>
      <w:r w:rsidR="00B27A6E">
        <w:rPr>
          <w:rFonts w:cstheme="minorHAnsi"/>
        </w:rPr>
        <w:t xml:space="preserve"> contents</w:t>
      </w:r>
      <w:r w:rsidR="00C92964">
        <w:rPr>
          <w:rFonts w:cstheme="minorHAnsi"/>
        </w:rPr>
        <w:t xml:space="preserve"> and </w:t>
      </w:r>
      <w:proofErr w:type="gramStart"/>
      <w:r w:rsidR="00C92964">
        <w:rPr>
          <w:rFonts w:cstheme="minorHAnsi"/>
        </w:rPr>
        <w:t xml:space="preserve">to </w:t>
      </w:r>
      <w:r w:rsidR="00B27A6E">
        <w:rPr>
          <w:rFonts w:cstheme="minorHAnsi"/>
        </w:rPr>
        <w:t xml:space="preserve"> Q</w:t>
      </w:r>
      <w:r w:rsidR="00B27A6E" w:rsidRPr="00B27A6E">
        <w:rPr>
          <w:rFonts w:cstheme="minorHAnsi"/>
          <w:vertAlign w:val="superscript"/>
        </w:rPr>
        <w:t>0</w:t>
      </w:r>
      <w:r w:rsidR="00B27A6E" w:rsidRPr="00B27A6E">
        <w:rPr>
          <w:rFonts w:cstheme="minorHAnsi"/>
          <w:vertAlign w:val="subscript"/>
        </w:rPr>
        <w:t>2</w:t>
      </w:r>
      <w:proofErr w:type="gramEnd"/>
      <w:r w:rsidR="00B27A6E">
        <w:rPr>
          <w:rFonts w:cstheme="minorHAnsi"/>
        </w:rPr>
        <w:t xml:space="preserve"> and Q</w:t>
      </w:r>
      <w:r w:rsidR="00B27A6E" w:rsidRPr="00B27A6E">
        <w:rPr>
          <w:rFonts w:cstheme="minorHAnsi"/>
          <w:vertAlign w:val="superscript"/>
        </w:rPr>
        <w:t>0</w:t>
      </w:r>
      <w:r w:rsidR="00B27A6E" w:rsidRPr="00B27A6E">
        <w:rPr>
          <w:rFonts w:cstheme="minorHAnsi"/>
          <w:vertAlign w:val="subscript"/>
        </w:rPr>
        <w:t>3</w:t>
      </w:r>
      <w:r w:rsidR="00B27A6E">
        <w:rPr>
          <w:rFonts w:cstheme="minorHAnsi"/>
        </w:rPr>
        <w:t xml:space="preserve"> species at high</w:t>
      </w:r>
      <w:r w:rsidR="00C92964">
        <w:rPr>
          <w:rFonts w:cstheme="minorHAnsi"/>
        </w:rPr>
        <w:t>er</w:t>
      </w:r>
      <w:r w:rsidR="00B27A6E">
        <w:rPr>
          <w:rFonts w:cstheme="minorHAnsi"/>
        </w:rPr>
        <w:t xml:space="preserve"> Al</w:t>
      </w:r>
      <w:r w:rsidR="00B27A6E" w:rsidRPr="00B27A6E">
        <w:rPr>
          <w:rFonts w:cstheme="minorHAnsi"/>
          <w:vertAlign w:val="subscript"/>
        </w:rPr>
        <w:t>2</w:t>
      </w:r>
      <w:r w:rsidR="00B27A6E">
        <w:rPr>
          <w:rFonts w:cstheme="minorHAnsi"/>
        </w:rPr>
        <w:t>O</w:t>
      </w:r>
      <w:r w:rsidR="00B27A6E" w:rsidRPr="00B27A6E">
        <w:rPr>
          <w:rFonts w:cstheme="minorHAnsi"/>
          <w:vertAlign w:val="subscript"/>
        </w:rPr>
        <w:t>3</w:t>
      </w:r>
      <w:r w:rsidR="00B27A6E">
        <w:rPr>
          <w:rFonts w:cstheme="minorHAnsi"/>
        </w:rPr>
        <w:t xml:space="preserve"> amounts. The structural model deduced from our experiments was used to understand the </w:t>
      </w:r>
      <w:proofErr w:type="gramStart"/>
      <w:r w:rsidR="00B27A6E">
        <w:rPr>
          <w:rFonts w:cstheme="minorHAnsi"/>
        </w:rPr>
        <w:t>three-domains</w:t>
      </w:r>
      <w:proofErr w:type="gramEnd"/>
      <w:r w:rsidR="00B27A6E">
        <w:rPr>
          <w:rFonts w:cstheme="minorHAnsi"/>
        </w:rPr>
        <w:t xml:space="preserve"> evolution of the </w:t>
      </w:r>
      <w:proofErr w:type="spellStart"/>
      <w:r w:rsidR="00B27A6E">
        <w:rPr>
          <w:rFonts w:cstheme="minorHAnsi"/>
        </w:rPr>
        <w:t>Tg</w:t>
      </w:r>
      <w:proofErr w:type="spellEnd"/>
      <w:r w:rsidR="00B27A6E">
        <w:rPr>
          <w:rFonts w:cstheme="minorHAnsi"/>
        </w:rPr>
        <w:t xml:space="preserve"> parameters.</w:t>
      </w:r>
      <w:r w:rsidR="00C92964">
        <w:rPr>
          <w:rFonts w:cstheme="minorHAnsi"/>
        </w:rPr>
        <w:t xml:space="preserve"> </w:t>
      </w:r>
      <w:bookmarkStart w:id="0" w:name="_GoBack"/>
      <w:bookmarkEnd w:id="0"/>
    </w:p>
    <w:p w14:paraId="6A0BE018" w14:textId="77777777" w:rsidR="00C92964" w:rsidRDefault="00C92964" w:rsidP="009B4251">
      <w:pPr>
        <w:jc w:val="both"/>
        <w:rPr>
          <w:rFonts w:cstheme="minorHAnsi"/>
        </w:rPr>
      </w:pPr>
    </w:p>
    <w:p w14:paraId="5E2A5957" w14:textId="433BD94B" w:rsidR="00B27A6E" w:rsidRDefault="00B27A6E" w:rsidP="009B4251">
      <w:pPr>
        <w:jc w:val="both"/>
        <w:rPr>
          <w:rFonts w:cstheme="minorHAnsi"/>
        </w:rPr>
      </w:pPr>
      <w:r>
        <w:rPr>
          <w:rFonts w:cstheme="minorHAnsi"/>
        </w:rPr>
        <w:t xml:space="preserve"> </w:t>
      </w:r>
    </w:p>
    <w:p w14:paraId="077DDA93" w14:textId="77777777" w:rsidR="009C2274" w:rsidRDefault="009C2274" w:rsidP="009B4251">
      <w:pPr>
        <w:jc w:val="both"/>
        <w:rPr>
          <w:rFonts w:cstheme="minorHAnsi"/>
        </w:rPr>
      </w:pPr>
    </w:p>
    <w:p w14:paraId="245BBC6C" w14:textId="485C40F3" w:rsidR="00E86D9C" w:rsidRDefault="00E86D9C" w:rsidP="00A7651B">
      <w:pPr>
        <w:rPr>
          <w:rFonts w:cstheme="minorHAnsi"/>
        </w:rPr>
      </w:pPr>
    </w:p>
    <w:p w14:paraId="4B5D6740" w14:textId="6235B7D6" w:rsidR="00E86D9C" w:rsidRDefault="00E86D9C" w:rsidP="00A7651B">
      <w:pPr>
        <w:rPr>
          <w:rFonts w:cstheme="minorHAnsi"/>
        </w:rPr>
      </w:pPr>
    </w:p>
    <w:sectPr w:rsidR="00E86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5E52"/>
    <w:multiLevelType w:val="hybridMultilevel"/>
    <w:tmpl w:val="CD9C904A"/>
    <w:lvl w:ilvl="0" w:tplc="FB965D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600281"/>
    <w:multiLevelType w:val="hybridMultilevel"/>
    <w:tmpl w:val="B3347B74"/>
    <w:lvl w:ilvl="0" w:tplc="D62CCDA4">
      <w:start w:val="4"/>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1B"/>
    <w:rsid w:val="00016166"/>
    <w:rsid w:val="00057B4B"/>
    <w:rsid w:val="0006412E"/>
    <w:rsid w:val="00067263"/>
    <w:rsid w:val="00073CB6"/>
    <w:rsid w:val="00100002"/>
    <w:rsid w:val="00104DED"/>
    <w:rsid w:val="00162193"/>
    <w:rsid w:val="001A21ED"/>
    <w:rsid w:val="001A3E38"/>
    <w:rsid w:val="001D7F92"/>
    <w:rsid w:val="001E1633"/>
    <w:rsid w:val="00257F7F"/>
    <w:rsid w:val="0028799E"/>
    <w:rsid w:val="002D3D2B"/>
    <w:rsid w:val="002D5428"/>
    <w:rsid w:val="00304170"/>
    <w:rsid w:val="003825F0"/>
    <w:rsid w:val="00425C0E"/>
    <w:rsid w:val="00436FC5"/>
    <w:rsid w:val="00497945"/>
    <w:rsid w:val="004B5D06"/>
    <w:rsid w:val="004F210E"/>
    <w:rsid w:val="00500FD7"/>
    <w:rsid w:val="00556420"/>
    <w:rsid w:val="005B557C"/>
    <w:rsid w:val="005C3642"/>
    <w:rsid w:val="006271EA"/>
    <w:rsid w:val="0065028D"/>
    <w:rsid w:val="006718E9"/>
    <w:rsid w:val="00693A7B"/>
    <w:rsid w:val="007102CB"/>
    <w:rsid w:val="0073787C"/>
    <w:rsid w:val="00742092"/>
    <w:rsid w:val="00771839"/>
    <w:rsid w:val="007D5AA6"/>
    <w:rsid w:val="0080378B"/>
    <w:rsid w:val="00820CC3"/>
    <w:rsid w:val="0083575A"/>
    <w:rsid w:val="008633E9"/>
    <w:rsid w:val="008C788A"/>
    <w:rsid w:val="008F40DB"/>
    <w:rsid w:val="008F6E27"/>
    <w:rsid w:val="00926F50"/>
    <w:rsid w:val="00946B59"/>
    <w:rsid w:val="00950FD0"/>
    <w:rsid w:val="00967DBF"/>
    <w:rsid w:val="009B4251"/>
    <w:rsid w:val="009C2274"/>
    <w:rsid w:val="00A7651B"/>
    <w:rsid w:val="00B27A6E"/>
    <w:rsid w:val="00BA5051"/>
    <w:rsid w:val="00C14BB5"/>
    <w:rsid w:val="00C16C9D"/>
    <w:rsid w:val="00C85040"/>
    <w:rsid w:val="00C92964"/>
    <w:rsid w:val="00CB1D3D"/>
    <w:rsid w:val="00D4267F"/>
    <w:rsid w:val="00D90BC2"/>
    <w:rsid w:val="00DD26D3"/>
    <w:rsid w:val="00E65395"/>
    <w:rsid w:val="00E86D9C"/>
    <w:rsid w:val="00EC4CA6"/>
    <w:rsid w:val="00EF0A6E"/>
    <w:rsid w:val="00EF30AC"/>
    <w:rsid w:val="00F21940"/>
    <w:rsid w:val="00F67EAB"/>
    <w:rsid w:val="00FE19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51B"/>
    <w:pPr>
      <w:spacing w:after="0" w:line="240"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90BC2"/>
    <w:rPr>
      <w:sz w:val="16"/>
      <w:szCs w:val="16"/>
    </w:rPr>
  </w:style>
  <w:style w:type="paragraph" w:styleId="Commentaire">
    <w:name w:val="annotation text"/>
    <w:basedOn w:val="Normal"/>
    <w:link w:val="CommentaireCar"/>
    <w:uiPriority w:val="99"/>
    <w:semiHidden/>
    <w:unhideWhenUsed/>
    <w:rsid w:val="00D90BC2"/>
    <w:rPr>
      <w:sz w:val="20"/>
      <w:szCs w:val="20"/>
    </w:rPr>
  </w:style>
  <w:style w:type="character" w:customStyle="1" w:styleId="CommentaireCar">
    <w:name w:val="Commentaire Car"/>
    <w:basedOn w:val="Policepardfaut"/>
    <w:link w:val="Commentaire"/>
    <w:uiPriority w:val="99"/>
    <w:semiHidden/>
    <w:rsid w:val="00D90BC2"/>
    <w:rPr>
      <w:sz w:val="20"/>
      <w:szCs w:val="20"/>
      <w:lang w:val="en-GB"/>
    </w:rPr>
  </w:style>
  <w:style w:type="paragraph" w:styleId="Objetducommentaire">
    <w:name w:val="annotation subject"/>
    <w:basedOn w:val="Commentaire"/>
    <w:next w:val="Commentaire"/>
    <w:link w:val="ObjetducommentaireCar"/>
    <w:uiPriority w:val="99"/>
    <w:semiHidden/>
    <w:unhideWhenUsed/>
    <w:rsid w:val="00D90BC2"/>
    <w:rPr>
      <w:b/>
      <w:bCs/>
    </w:rPr>
  </w:style>
  <w:style w:type="character" w:customStyle="1" w:styleId="ObjetducommentaireCar">
    <w:name w:val="Objet du commentaire Car"/>
    <w:basedOn w:val="CommentaireCar"/>
    <w:link w:val="Objetducommentaire"/>
    <w:uiPriority w:val="99"/>
    <w:semiHidden/>
    <w:rsid w:val="00D90BC2"/>
    <w:rPr>
      <w:b/>
      <w:bCs/>
      <w:sz w:val="20"/>
      <w:szCs w:val="20"/>
      <w:lang w:val="en-GB"/>
    </w:rPr>
  </w:style>
  <w:style w:type="paragraph" w:styleId="Textedebulles">
    <w:name w:val="Balloon Text"/>
    <w:basedOn w:val="Normal"/>
    <w:link w:val="TextedebullesCar"/>
    <w:uiPriority w:val="99"/>
    <w:semiHidden/>
    <w:unhideWhenUsed/>
    <w:rsid w:val="00D90BC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0BC2"/>
    <w:rPr>
      <w:rFonts w:ascii="Segoe UI" w:hAnsi="Segoe UI" w:cs="Segoe UI"/>
      <w:sz w:val="18"/>
      <w:szCs w:val="18"/>
      <w:lang w:val="en-GB"/>
    </w:rPr>
  </w:style>
  <w:style w:type="paragraph" w:styleId="Paragraphedeliste">
    <w:name w:val="List Paragraph"/>
    <w:basedOn w:val="Normal"/>
    <w:uiPriority w:val="34"/>
    <w:qFormat/>
    <w:rsid w:val="0077183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245</Words>
  <Characters>1349</Characters>
  <Application>Microsoft Office Word</Application>
  <DocSecurity>0</DocSecurity>
  <Lines>11</Lines>
  <Paragraphs>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Grégory Tricot</cp:lastModifiedBy>
  <cp:revision>4</cp:revision>
  <cp:lastPrinted>2021-07-22T09:33:00Z</cp:lastPrinted>
  <dcterms:created xsi:type="dcterms:W3CDTF">2023-01-30T13:53:00Z</dcterms:created>
  <dcterms:modified xsi:type="dcterms:W3CDTF">2023-01-30T14:37:00Z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